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B9" w:rsidRDefault="008048B9" w:rsidP="00C93D8E">
      <w:pPr>
        <w:ind w:left="1440" w:firstLine="720"/>
        <w:rPr>
          <w:rFonts w:ascii="Calibri" w:hAnsi="Calibri"/>
          <w:b/>
          <w:bCs/>
          <w:color w:val="000000"/>
          <w:sz w:val="22"/>
          <w:szCs w:val="22"/>
        </w:rPr>
      </w:pPr>
      <w:r>
        <w:rPr>
          <w:noProof/>
        </w:rPr>
        <w:drawing>
          <wp:inline distT="0" distB="0" distL="0" distR="0">
            <wp:extent cx="1143000" cy="914400"/>
            <wp:effectExtent l="0" t="0" r="0" b="0"/>
            <wp:docPr id="1" name="Picture 1" descr="http://web.nmsu.edu/~jvessel/Assets/Images/nmsu-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nmsu.edu/~jvessel/Assets/Images/nmsu-b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rsidR="00C93D8E">
        <w:rPr>
          <w:rFonts w:ascii="Calibri" w:hAnsi="Calibri"/>
          <w:b/>
          <w:bCs/>
          <w:color w:val="000000"/>
          <w:sz w:val="22"/>
          <w:szCs w:val="22"/>
        </w:rPr>
        <w:tab/>
      </w:r>
      <w:r w:rsidR="00C93D8E">
        <w:rPr>
          <w:noProof/>
        </w:rPr>
        <w:drawing>
          <wp:inline distT="0" distB="0" distL="0" distR="0">
            <wp:extent cx="2148840" cy="685800"/>
            <wp:effectExtent l="0" t="0" r="3810" b="0"/>
            <wp:docPr id="2" name="Picture 2" descr="http://www.nmda.nmsu.edu/wp-content/uploads/2014/02/NM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mda.nmsu.edu/wp-content/uploads/2014/02/NMD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685800"/>
                    </a:xfrm>
                    <a:prstGeom prst="rect">
                      <a:avLst/>
                    </a:prstGeom>
                    <a:noFill/>
                    <a:ln>
                      <a:noFill/>
                    </a:ln>
                  </pic:spPr>
                </pic:pic>
              </a:graphicData>
            </a:graphic>
          </wp:inline>
        </w:drawing>
      </w:r>
    </w:p>
    <w:p w:rsidR="008048B9" w:rsidRDefault="008048B9" w:rsidP="008048B9">
      <w:pPr>
        <w:rPr>
          <w:rFonts w:ascii="Calibri" w:hAnsi="Calibri"/>
          <w:b/>
          <w:bCs/>
          <w:color w:val="000000"/>
          <w:sz w:val="22"/>
          <w:szCs w:val="22"/>
        </w:rPr>
      </w:pPr>
    </w:p>
    <w:p w:rsidR="00C93D8E" w:rsidRDefault="00C93D8E" w:rsidP="00C93D8E">
      <w:pPr>
        <w:jc w:val="center"/>
        <w:rPr>
          <w:rFonts w:ascii="Calibri" w:hAnsi="Calibri"/>
          <w:b/>
          <w:bCs/>
          <w:color w:val="000000"/>
          <w:sz w:val="22"/>
          <w:szCs w:val="22"/>
        </w:rPr>
      </w:pPr>
      <w:r>
        <w:rPr>
          <w:rFonts w:ascii="Calibri" w:hAnsi="Calibri"/>
          <w:b/>
          <w:bCs/>
          <w:color w:val="000000"/>
          <w:sz w:val="22"/>
          <w:szCs w:val="22"/>
        </w:rPr>
        <w:t xml:space="preserve">The </w:t>
      </w:r>
      <w:r w:rsidR="005F55EA">
        <w:rPr>
          <w:rFonts w:ascii="Calibri" w:hAnsi="Calibri"/>
          <w:b/>
          <w:bCs/>
          <w:color w:val="000000"/>
          <w:sz w:val="22"/>
          <w:szCs w:val="22"/>
        </w:rPr>
        <w:t xml:space="preserve">Current </w:t>
      </w:r>
      <w:r>
        <w:rPr>
          <w:rFonts w:ascii="Calibri" w:hAnsi="Calibri"/>
          <w:b/>
          <w:bCs/>
          <w:color w:val="000000"/>
          <w:sz w:val="22"/>
          <w:szCs w:val="22"/>
        </w:rPr>
        <w:t>Risks of Using Animas/San Juan River Water on Crops Following Mine Spill</w:t>
      </w:r>
    </w:p>
    <w:p w:rsidR="00C93D8E" w:rsidRDefault="00C93D8E" w:rsidP="008048B9">
      <w:pPr>
        <w:rPr>
          <w:rFonts w:ascii="Calibri" w:hAnsi="Calibri"/>
          <w:bCs/>
          <w:color w:val="000000"/>
          <w:sz w:val="22"/>
          <w:szCs w:val="22"/>
        </w:rPr>
      </w:pPr>
    </w:p>
    <w:p w:rsidR="008048B9" w:rsidRPr="00C93D8E" w:rsidRDefault="008048B9" w:rsidP="008048B9">
      <w:pPr>
        <w:rPr>
          <w:rFonts w:ascii="Calibri" w:hAnsi="Calibri"/>
          <w:b/>
          <w:bCs/>
          <w:color w:val="000000"/>
          <w:sz w:val="22"/>
          <w:szCs w:val="22"/>
        </w:rPr>
      </w:pPr>
      <w:r w:rsidRPr="00C93D8E">
        <w:rPr>
          <w:rFonts w:ascii="Calibri" w:hAnsi="Calibri"/>
          <w:bCs/>
          <w:color w:val="000000"/>
          <w:sz w:val="22"/>
          <w:szCs w:val="22"/>
        </w:rPr>
        <w:t>Following the mine spill in southwestern Colorado, emergency managers at the local, county, state, and federal levels of government are advising farmers along the Animas River and the affected stretch of the San Juan River in northwestern New Mexico</w:t>
      </w:r>
      <w:r w:rsidR="00C93D8E">
        <w:rPr>
          <w:rFonts w:ascii="Calibri" w:hAnsi="Calibri"/>
          <w:bCs/>
          <w:color w:val="000000"/>
          <w:sz w:val="22"/>
          <w:szCs w:val="22"/>
        </w:rPr>
        <w:t xml:space="preserve">: </w:t>
      </w:r>
      <w:r w:rsidR="009E4978">
        <w:rPr>
          <w:rFonts w:ascii="Calibri" w:hAnsi="Calibri"/>
          <w:b/>
          <w:bCs/>
          <w:color w:val="000000"/>
          <w:sz w:val="22"/>
          <w:szCs w:val="22"/>
        </w:rPr>
        <w:t>N</w:t>
      </w:r>
      <w:r w:rsidR="009C790B" w:rsidRPr="009C790B">
        <w:rPr>
          <w:rFonts w:ascii="Calibri" w:hAnsi="Calibri"/>
          <w:b/>
          <w:bCs/>
          <w:color w:val="000000"/>
          <w:sz w:val="22"/>
          <w:szCs w:val="22"/>
        </w:rPr>
        <w:t>o matter the visual appearance of the river water,</w:t>
      </w:r>
      <w:r w:rsidR="009C790B">
        <w:rPr>
          <w:rFonts w:ascii="Calibri" w:hAnsi="Calibri"/>
          <w:bCs/>
          <w:color w:val="000000"/>
          <w:sz w:val="22"/>
          <w:szCs w:val="22"/>
        </w:rPr>
        <w:t xml:space="preserve"> </w:t>
      </w:r>
      <w:r w:rsidR="00C93D8E" w:rsidRPr="00C93D8E">
        <w:rPr>
          <w:rFonts w:ascii="Calibri" w:hAnsi="Calibri"/>
          <w:b/>
          <w:bCs/>
          <w:color w:val="000000"/>
          <w:sz w:val="22"/>
          <w:szCs w:val="22"/>
        </w:rPr>
        <w:t>do not</w:t>
      </w:r>
      <w:r w:rsidR="00C93D8E" w:rsidRPr="00C93D8E">
        <w:rPr>
          <w:rFonts w:ascii="Calibri" w:hAnsi="Calibri"/>
          <w:b/>
          <w:bCs/>
          <w:i/>
          <w:color w:val="000000"/>
          <w:sz w:val="22"/>
          <w:szCs w:val="22"/>
        </w:rPr>
        <w:t xml:space="preserve"> </w:t>
      </w:r>
      <w:r w:rsidRPr="00C93D8E">
        <w:rPr>
          <w:rFonts w:ascii="Calibri" w:hAnsi="Calibri"/>
          <w:b/>
          <w:bCs/>
          <w:color w:val="000000"/>
          <w:sz w:val="22"/>
          <w:szCs w:val="22"/>
        </w:rPr>
        <w:t xml:space="preserve">use </w:t>
      </w:r>
      <w:r w:rsidR="009C790B">
        <w:rPr>
          <w:rFonts w:ascii="Calibri" w:hAnsi="Calibri"/>
          <w:b/>
          <w:bCs/>
          <w:color w:val="000000"/>
          <w:sz w:val="22"/>
          <w:szCs w:val="22"/>
        </w:rPr>
        <w:t xml:space="preserve">it </w:t>
      </w:r>
      <w:r w:rsidRPr="00C93D8E">
        <w:rPr>
          <w:rFonts w:ascii="Calibri" w:hAnsi="Calibri"/>
          <w:b/>
          <w:bCs/>
          <w:color w:val="000000"/>
          <w:sz w:val="22"/>
          <w:szCs w:val="22"/>
        </w:rPr>
        <w:t xml:space="preserve">to irrigate </w:t>
      </w:r>
      <w:r w:rsidR="00C93D8E">
        <w:rPr>
          <w:rFonts w:ascii="Calibri" w:hAnsi="Calibri"/>
          <w:b/>
          <w:bCs/>
          <w:color w:val="000000"/>
          <w:sz w:val="22"/>
          <w:szCs w:val="22"/>
        </w:rPr>
        <w:t xml:space="preserve">your </w:t>
      </w:r>
      <w:r w:rsidRPr="00C93D8E">
        <w:rPr>
          <w:rFonts w:ascii="Calibri" w:hAnsi="Calibri"/>
          <w:b/>
          <w:bCs/>
          <w:color w:val="000000"/>
          <w:sz w:val="22"/>
          <w:szCs w:val="22"/>
        </w:rPr>
        <w:t>crops</w:t>
      </w:r>
      <w:r w:rsidR="009C790B">
        <w:rPr>
          <w:rFonts w:ascii="Calibri" w:hAnsi="Calibri"/>
          <w:b/>
          <w:bCs/>
          <w:color w:val="000000"/>
          <w:sz w:val="22"/>
          <w:szCs w:val="22"/>
        </w:rPr>
        <w:t xml:space="preserve"> until </w:t>
      </w:r>
      <w:r w:rsidR="001F56F2">
        <w:rPr>
          <w:rFonts w:ascii="Calibri" w:hAnsi="Calibri"/>
          <w:b/>
          <w:bCs/>
          <w:color w:val="000000"/>
          <w:sz w:val="22"/>
          <w:szCs w:val="22"/>
        </w:rPr>
        <w:t>government officials declare it safe to use again</w:t>
      </w:r>
      <w:r w:rsidR="009C790B">
        <w:rPr>
          <w:rFonts w:ascii="Calibri" w:hAnsi="Calibri"/>
          <w:b/>
          <w:bCs/>
          <w:color w:val="000000"/>
          <w:sz w:val="22"/>
          <w:szCs w:val="22"/>
        </w:rPr>
        <w:t>.</w:t>
      </w:r>
    </w:p>
    <w:p w:rsidR="008048B9" w:rsidRPr="008048B9" w:rsidRDefault="008048B9" w:rsidP="008048B9">
      <w:pPr>
        <w:rPr>
          <w:sz w:val="22"/>
          <w:szCs w:val="22"/>
        </w:rPr>
      </w:pPr>
      <w:bookmarkStart w:id="0" w:name="_GoBack"/>
      <w:bookmarkEnd w:id="0"/>
    </w:p>
    <w:p w:rsidR="008048B9" w:rsidRPr="00C93D8E" w:rsidRDefault="008048B9" w:rsidP="008048B9">
      <w:pPr>
        <w:rPr>
          <w:rFonts w:ascii="Calibri" w:hAnsi="Calibri"/>
          <w:b/>
          <w:bCs/>
          <w:color w:val="000000"/>
          <w:sz w:val="22"/>
          <w:szCs w:val="22"/>
        </w:rPr>
      </w:pPr>
      <w:r>
        <w:rPr>
          <w:rFonts w:ascii="Calibri" w:hAnsi="Calibri"/>
          <w:b/>
          <w:bCs/>
          <w:color w:val="000000"/>
          <w:sz w:val="22"/>
          <w:szCs w:val="22"/>
        </w:rPr>
        <w:t xml:space="preserve">Farmers </w:t>
      </w:r>
      <w:r w:rsidRPr="008048B9">
        <w:rPr>
          <w:rFonts w:ascii="Calibri" w:hAnsi="Calibri"/>
          <w:b/>
          <w:bCs/>
          <w:color w:val="000000"/>
          <w:sz w:val="22"/>
          <w:szCs w:val="22"/>
        </w:rPr>
        <w:t>who go against this advice run the following risks:</w:t>
      </w:r>
    </w:p>
    <w:p w:rsidR="008048B9" w:rsidRPr="008048B9" w:rsidRDefault="008048B9" w:rsidP="008048B9">
      <w:pPr>
        <w:pStyle w:val="ListParagraph"/>
        <w:numPr>
          <w:ilvl w:val="0"/>
          <w:numId w:val="1"/>
        </w:numPr>
        <w:rPr>
          <w:sz w:val="22"/>
          <w:szCs w:val="22"/>
        </w:rPr>
      </w:pPr>
      <w:r w:rsidRPr="008048B9">
        <w:rPr>
          <w:rFonts w:ascii="Calibri" w:hAnsi="Calibri"/>
          <w:color w:val="000000"/>
          <w:sz w:val="22"/>
          <w:szCs w:val="22"/>
        </w:rPr>
        <w:t>Crops where the edible portion of the plant is the active growing portion or is in direct contact with contaminated water and soil, may absorb the contaminants released in the spill.  These plants include but are not limited to: Leafy vegetables such as spinach, lettuce, and celery, as well as root crops such as carrots, potatoes, beets, and radishes.</w:t>
      </w:r>
    </w:p>
    <w:p w:rsidR="008048B9" w:rsidRPr="008048B9" w:rsidRDefault="008048B9" w:rsidP="008048B9">
      <w:pPr>
        <w:pStyle w:val="ListParagraph"/>
        <w:numPr>
          <w:ilvl w:val="0"/>
          <w:numId w:val="1"/>
        </w:numPr>
        <w:rPr>
          <w:sz w:val="22"/>
          <w:szCs w:val="22"/>
        </w:rPr>
      </w:pPr>
      <w:r w:rsidRPr="008048B9">
        <w:rPr>
          <w:rFonts w:ascii="Calibri" w:hAnsi="Calibri"/>
          <w:color w:val="000000"/>
          <w:sz w:val="22"/>
          <w:szCs w:val="22"/>
        </w:rPr>
        <w:t>Flood irrigation will carry suspended particles and dissolved metals into the field where they can attach themselves to plants and soil.</w:t>
      </w:r>
    </w:p>
    <w:p w:rsidR="008048B9" w:rsidRPr="008048B9" w:rsidRDefault="008048B9" w:rsidP="008048B9">
      <w:pPr>
        <w:rPr>
          <w:rFonts w:ascii="Calibri" w:hAnsi="Calibri"/>
          <w:b/>
          <w:bCs/>
          <w:color w:val="000000"/>
          <w:sz w:val="22"/>
          <w:szCs w:val="22"/>
        </w:rPr>
      </w:pPr>
    </w:p>
    <w:p w:rsidR="008048B9" w:rsidRPr="008048B9" w:rsidRDefault="008048B9" w:rsidP="008048B9">
      <w:pPr>
        <w:rPr>
          <w:sz w:val="22"/>
          <w:szCs w:val="22"/>
        </w:rPr>
      </w:pPr>
      <w:r w:rsidRPr="008048B9">
        <w:rPr>
          <w:rFonts w:ascii="Calibri" w:hAnsi="Calibri"/>
          <w:b/>
          <w:bCs/>
          <w:color w:val="000000"/>
          <w:sz w:val="22"/>
          <w:szCs w:val="22"/>
        </w:rPr>
        <w:t>From U.S. Environmental Protection Agency (EPA)</w:t>
      </w:r>
      <w:proofErr w:type="gramStart"/>
      <w:r w:rsidRPr="008048B9">
        <w:rPr>
          <w:rFonts w:ascii="Calibri" w:hAnsi="Calibri"/>
          <w:b/>
          <w:bCs/>
          <w:color w:val="000000"/>
          <w:sz w:val="22"/>
          <w:szCs w:val="22"/>
        </w:rPr>
        <w:t>:</w:t>
      </w:r>
      <w:proofErr w:type="gramEnd"/>
      <w:r w:rsidRPr="008048B9">
        <w:rPr>
          <w:rFonts w:ascii="Calibri" w:hAnsi="Calibri"/>
          <w:b/>
          <w:bCs/>
          <w:color w:val="000000"/>
          <w:sz w:val="22"/>
          <w:szCs w:val="22"/>
        </w:rPr>
        <w:br/>
        <w:t xml:space="preserve">Threshold levels of metals dissolved* in water </w:t>
      </w:r>
      <w:r w:rsidRPr="008048B9">
        <w:rPr>
          <w:rFonts w:ascii="Calibri" w:hAnsi="Calibri"/>
          <w:i/>
          <w:iCs/>
          <w:color w:val="000000"/>
          <w:sz w:val="22"/>
          <w:szCs w:val="22"/>
        </w:rPr>
        <w:t>(don’t use water with concentrations above these levels)</w:t>
      </w:r>
    </w:p>
    <w:tbl>
      <w:tblPr>
        <w:tblW w:w="0" w:type="auto"/>
        <w:jc w:val="center"/>
        <w:tblCellMar>
          <w:left w:w="0" w:type="dxa"/>
          <w:right w:w="0" w:type="dxa"/>
        </w:tblCellMar>
        <w:tblLook w:val="04A0" w:firstRow="1" w:lastRow="0" w:firstColumn="1" w:lastColumn="0" w:noHBand="0" w:noVBand="1"/>
      </w:tblPr>
      <w:tblGrid>
        <w:gridCol w:w="3500"/>
        <w:gridCol w:w="2880"/>
        <w:gridCol w:w="2600"/>
      </w:tblGrid>
      <w:tr w:rsidR="008048B9" w:rsidRPr="008048B9" w:rsidTr="008048B9">
        <w:trPr>
          <w:jc w:val="center"/>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rPr>
                <w:sz w:val="22"/>
                <w:szCs w:val="22"/>
              </w:rPr>
            </w:pPr>
            <w:r w:rsidRPr="008048B9">
              <w:rPr>
                <w:rFonts w:ascii="Calibri" w:hAnsi="Calibri"/>
                <w:sz w:val="22"/>
                <w:szCs w:val="22"/>
              </w:rPr>
              <w:t>Element</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b/>
                <w:bCs/>
                <w:sz w:val="22"/>
                <w:szCs w:val="22"/>
              </w:rPr>
              <w:t>Drinking</w:t>
            </w:r>
            <w:r w:rsidRPr="008048B9">
              <w:rPr>
                <w:rFonts w:ascii="Calibri" w:hAnsi="Calibri"/>
                <w:sz w:val="22"/>
                <w:szCs w:val="22"/>
              </w:rPr>
              <w:t xml:space="preserve"> water MCL </w:t>
            </w:r>
          </w:p>
        </w:tc>
        <w:tc>
          <w:tcPr>
            <w:tcW w:w="2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b/>
                <w:bCs/>
                <w:sz w:val="22"/>
                <w:szCs w:val="22"/>
              </w:rPr>
              <w:t>Irrigation</w:t>
            </w:r>
            <w:r w:rsidRPr="008048B9">
              <w:rPr>
                <w:rFonts w:ascii="Calibri" w:hAnsi="Calibri"/>
                <w:sz w:val="22"/>
                <w:szCs w:val="22"/>
              </w:rPr>
              <w:t xml:space="preserve"> water</w:t>
            </w:r>
          </w:p>
        </w:tc>
      </w:tr>
      <w:tr w:rsidR="008048B9" w:rsidRPr="008048B9" w:rsidTr="008048B9">
        <w:trPr>
          <w:jc w:val="center"/>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rPr>
                <w:sz w:val="22"/>
                <w:szCs w:val="22"/>
              </w:rPr>
            </w:pPr>
            <w:r w:rsidRPr="008048B9">
              <w:rPr>
                <w:sz w:val="22"/>
                <w:szCs w:val="22"/>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proofErr w:type="spellStart"/>
            <w:r w:rsidRPr="008048B9">
              <w:rPr>
                <w:rFonts w:ascii="Calibri" w:hAnsi="Calibri"/>
                <w:sz w:val="22"/>
                <w:szCs w:val="22"/>
              </w:rPr>
              <w:t>μg</w:t>
            </w:r>
            <w:proofErr w:type="spellEnd"/>
            <w:r w:rsidRPr="008048B9">
              <w:rPr>
                <w:rFonts w:ascii="Calibri" w:hAnsi="Calibri"/>
                <w:sz w:val="22"/>
                <w:szCs w:val="22"/>
              </w:rPr>
              <w:t>/L</w:t>
            </w:r>
            <w:r w:rsidRPr="008048B9">
              <w:rPr>
                <w:rFonts w:ascii="Calibri" w:hAnsi="Calibri"/>
                <w:sz w:val="22"/>
                <w:szCs w:val="22"/>
              </w:rPr>
              <w:br/>
            </w:r>
            <w:r w:rsidRPr="008048B9">
              <w:rPr>
                <w:rFonts w:ascii="Calibri" w:hAnsi="Calibri"/>
                <w:i/>
                <w:sz w:val="22"/>
                <w:szCs w:val="22"/>
              </w:rPr>
              <w:t>(micrograms per liter or parts per billion)</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proofErr w:type="spellStart"/>
            <w:r w:rsidRPr="008048B9">
              <w:rPr>
                <w:rFonts w:ascii="Calibri" w:hAnsi="Calibri"/>
                <w:sz w:val="22"/>
                <w:szCs w:val="22"/>
              </w:rPr>
              <w:t>μg</w:t>
            </w:r>
            <w:proofErr w:type="spellEnd"/>
            <w:r w:rsidRPr="008048B9">
              <w:rPr>
                <w:rFonts w:ascii="Calibri" w:hAnsi="Calibri"/>
                <w:sz w:val="22"/>
                <w:szCs w:val="22"/>
              </w:rPr>
              <w:t>/L</w:t>
            </w:r>
            <w:r w:rsidRPr="008048B9">
              <w:rPr>
                <w:rFonts w:ascii="Calibri" w:hAnsi="Calibri"/>
                <w:sz w:val="22"/>
                <w:szCs w:val="22"/>
              </w:rPr>
              <w:br/>
            </w:r>
            <w:r w:rsidRPr="008048B9">
              <w:rPr>
                <w:rFonts w:ascii="Calibri" w:hAnsi="Calibri"/>
                <w:i/>
                <w:sz w:val="22"/>
                <w:szCs w:val="22"/>
              </w:rPr>
              <w:t>(micrograms per liter or parts per billion)</w:t>
            </w:r>
          </w:p>
        </w:tc>
      </w:tr>
      <w:tr w:rsidR="008048B9" w:rsidRPr="008048B9" w:rsidTr="008048B9">
        <w:trPr>
          <w:jc w:val="center"/>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rPr>
                <w:sz w:val="22"/>
                <w:szCs w:val="22"/>
              </w:rPr>
            </w:pPr>
            <w:r w:rsidRPr="008048B9">
              <w:rPr>
                <w:rFonts w:ascii="Calibri" w:hAnsi="Calibri"/>
                <w:sz w:val="22"/>
                <w:szCs w:val="22"/>
              </w:rPr>
              <w:t>Arsenic</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10</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2,000</w:t>
            </w:r>
          </w:p>
        </w:tc>
      </w:tr>
      <w:tr w:rsidR="008048B9" w:rsidRPr="008048B9" w:rsidTr="008048B9">
        <w:trPr>
          <w:jc w:val="center"/>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rPr>
                <w:sz w:val="22"/>
                <w:szCs w:val="22"/>
              </w:rPr>
            </w:pPr>
            <w:r w:rsidRPr="008048B9">
              <w:rPr>
                <w:rFonts w:ascii="Calibri" w:hAnsi="Calibri"/>
                <w:sz w:val="22"/>
                <w:szCs w:val="22"/>
              </w:rPr>
              <w:t>Cadmium</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5</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50</w:t>
            </w:r>
          </w:p>
        </w:tc>
      </w:tr>
      <w:tr w:rsidR="008048B9" w:rsidRPr="008048B9" w:rsidTr="008048B9">
        <w:trPr>
          <w:jc w:val="center"/>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rPr>
                <w:sz w:val="22"/>
                <w:szCs w:val="22"/>
              </w:rPr>
            </w:pPr>
            <w:r w:rsidRPr="008048B9">
              <w:rPr>
                <w:rFonts w:ascii="Calibri" w:hAnsi="Calibri"/>
                <w:sz w:val="22"/>
                <w:szCs w:val="22"/>
              </w:rPr>
              <w:t>Iron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300</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20,000</w:t>
            </w:r>
          </w:p>
        </w:tc>
      </w:tr>
      <w:tr w:rsidR="008048B9" w:rsidRPr="008048B9" w:rsidTr="008048B9">
        <w:trPr>
          <w:jc w:val="center"/>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rPr>
                <w:sz w:val="22"/>
                <w:szCs w:val="22"/>
              </w:rPr>
            </w:pPr>
            <w:r w:rsidRPr="008048B9">
              <w:rPr>
                <w:rFonts w:ascii="Calibri" w:hAnsi="Calibri"/>
                <w:sz w:val="22"/>
                <w:szCs w:val="22"/>
              </w:rPr>
              <w:t>Lead</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15</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10,000</w:t>
            </w:r>
          </w:p>
        </w:tc>
      </w:tr>
      <w:tr w:rsidR="008048B9" w:rsidRPr="008048B9" w:rsidTr="008048B9">
        <w:trPr>
          <w:jc w:val="center"/>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rPr>
                <w:sz w:val="22"/>
                <w:szCs w:val="22"/>
              </w:rPr>
            </w:pPr>
            <w:r w:rsidRPr="008048B9">
              <w:rPr>
                <w:rFonts w:ascii="Calibri" w:hAnsi="Calibri"/>
                <w:sz w:val="22"/>
                <w:szCs w:val="22"/>
              </w:rPr>
              <w:t>Mercury</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2</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2</w:t>
            </w:r>
          </w:p>
        </w:tc>
      </w:tr>
      <w:tr w:rsidR="008048B9" w:rsidRPr="008048B9" w:rsidTr="008048B9">
        <w:trPr>
          <w:jc w:val="center"/>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rPr>
                <w:sz w:val="22"/>
                <w:szCs w:val="22"/>
              </w:rPr>
            </w:pPr>
            <w:r w:rsidRPr="008048B9">
              <w:rPr>
                <w:rFonts w:ascii="Calibri" w:hAnsi="Calibri"/>
                <w:sz w:val="22"/>
                <w:szCs w:val="22"/>
              </w:rPr>
              <w:t>Zinc</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2,000</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rsidR="008048B9" w:rsidRPr="008048B9" w:rsidRDefault="008048B9" w:rsidP="008048B9">
            <w:pPr>
              <w:jc w:val="center"/>
              <w:rPr>
                <w:sz w:val="22"/>
                <w:szCs w:val="22"/>
              </w:rPr>
            </w:pPr>
            <w:r w:rsidRPr="008048B9">
              <w:rPr>
                <w:rFonts w:ascii="Calibri" w:hAnsi="Calibri"/>
                <w:sz w:val="22"/>
                <w:szCs w:val="22"/>
              </w:rPr>
              <w:t>10,000</w:t>
            </w:r>
          </w:p>
        </w:tc>
      </w:tr>
    </w:tbl>
    <w:p w:rsidR="008048B9" w:rsidRPr="008048B9" w:rsidRDefault="008048B9" w:rsidP="008048B9">
      <w:pPr>
        <w:rPr>
          <w:sz w:val="22"/>
          <w:szCs w:val="22"/>
        </w:rPr>
      </w:pPr>
      <w:r w:rsidRPr="008048B9">
        <w:rPr>
          <w:rFonts w:ascii="Calibri" w:hAnsi="Calibri"/>
          <w:color w:val="000000"/>
          <w:sz w:val="22"/>
          <w:szCs w:val="22"/>
        </w:rPr>
        <w:t>MCL = maximum contaminant levels</w:t>
      </w:r>
    </w:p>
    <w:p w:rsidR="008048B9" w:rsidRPr="008048B9" w:rsidRDefault="008048B9" w:rsidP="008048B9">
      <w:pPr>
        <w:rPr>
          <w:sz w:val="22"/>
          <w:szCs w:val="22"/>
        </w:rPr>
      </w:pPr>
      <w:r w:rsidRPr="008048B9">
        <w:rPr>
          <w:rFonts w:ascii="Calibri" w:hAnsi="Calibri"/>
          <w:color w:val="000000"/>
          <w:sz w:val="22"/>
          <w:szCs w:val="22"/>
        </w:rPr>
        <w:br/>
        <w:t xml:space="preserve">*The term “dissolved” refers specifically to the metals still present in the water sample after passing through a tiny filter. A “dissolved metals” analysis of a water sample is done by removing the particulates with a filter, then analyzing the filtered water for metals. The most common filters used for this purpose have a 0.45 </w:t>
      </w:r>
      <w:proofErr w:type="spellStart"/>
      <w:r w:rsidRPr="008048B9">
        <w:rPr>
          <w:rFonts w:ascii="Calibri" w:hAnsi="Calibri"/>
          <w:color w:val="000000"/>
          <w:sz w:val="22"/>
          <w:szCs w:val="22"/>
        </w:rPr>
        <w:t>μm</w:t>
      </w:r>
      <w:proofErr w:type="spellEnd"/>
      <w:r w:rsidRPr="008048B9">
        <w:rPr>
          <w:rFonts w:ascii="Calibri" w:hAnsi="Calibri"/>
          <w:color w:val="000000"/>
          <w:sz w:val="22"/>
          <w:szCs w:val="22"/>
        </w:rPr>
        <w:t xml:space="preserve"> (micrometer) pore size – less than the diameter of a strand of human hair.</w:t>
      </w:r>
    </w:p>
    <w:p w:rsidR="008048B9" w:rsidRPr="008048B9" w:rsidRDefault="008048B9" w:rsidP="008048B9">
      <w:pPr>
        <w:rPr>
          <w:color w:val="000000"/>
          <w:sz w:val="22"/>
          <w:szCs w:val="22"/>
        </w:rPr>
      </w:pPr>
      <w:r w:rsidRPr="008048B9">
        <w:rPr>
          <w:rFonts w:ascii="Calibri" w:hAnsi="Calibri"/>
          <w:color w:val="000000"/>
          <w:sz w:val="22"/>
          <w:szCs w:val="22"/>
        </w:rPr>
        <w:br/>
        <w:t xml:space="preserve">Guidelines for the reuse of water for irrigation were found at: </w:t>
      </w:r>
      <w:hyperlink r:id="rId9" w:history="1">
        <w:r w:rsidRPr="008048B9">
          <w:rPr>
            <w:rStyle w:val="Hyperlink"/>
            <w:rFonts w:ascii="Calibri" w:hAnsi="Calibri"/>
            <w:color w:val="auto"/>
            <w:sz w:val="22"/>
            <w:szCs w:val="22"/>
          </w:rPr>
          <w:t>http://nepis.epa.gov/Adobe/PDF/30006MKD.pdf</w:t>
        </w:r>
      </w:hyperlink>
    </w:p>
    <w:p w:rsidR="008048B9" w:rsidRPr="008048B9" w:rsidRDefault="008048B9" w:rsidP="008048B9">
      <w:pPr>
        <w:rPr>
          <w:color w:val="000000"/>
          <w:sz w:val="22"/>
          <w:szCs w:val="22"/>
        </w:rPr>
      </w:pPr>
    </w:p>
    <w:p w:rsidR="0026169D" w:rsidRPr="008048B9" w:rsidRDefault="008048B9" w:rsidP="008048B9">
      <w:pPr>
        <w:rPr>
          <w:sz w:val="22"/>
          <w:szCs w:val="22"/>
        </w:rPr>
      </w:pPr>
      <w:r w:rsidRPr="008048B9">
        <w:rPr>
          <w:rFonts w:ascii="Calibri" w:hAnsi="Calibri"/>
          <w:i/>
          <w:iCs/>
          <w:color w:val="000000"/>
          <w:sz w:val="22"/>
          <w:szCs w:val="22"/>
        </w:rPr>
        <w:t>All content provided in this handout is for informational purposes only. Although every reasonable effort has been made to present current and accurate information, NMSU and NMDA make no guarantees of any kind and cannot be held liable for any outdated or incorrect information.</w:t>
      </w:r>
    </w:p>
    <w:sectPr w:rsidR="0026169D" w:rsidRPr="008048B9" w:rsidSect="008048B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4A" w:rsidRDefault="0056624A" w:rsidP="008048B9">
      <w:r>
        <w:separator/>
      </w:r>
    </w:p>
  </w:endnote>
  <w:endnote w:type="continuationSeparator" w:id="0">
    <w:p w:rsidR="0056624A" w:rsidRDefault="0056624A" w:rsidP="0080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4A" w:rsidRDefault="0056624A" w:rsidP="008048B9">
      <w:r>
        <w:separator/>
      </w:r>
    </w:p>
  </w:footnote>
  <w:footnote w:type="continuationSeparator" w:id="0">
    <w:p w:rsidR="0056624A" w:rsidRDefault="0056624A" w:rsidP="0080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B9" w:rsidRPr="008048B9" w:rsidRDefault="00C32E42" w:rsidP="008048B9">
    <w:pPr>
      <w:pStyle w:val="Header"/>
      <w:jc w:val="right"/>
      <w:rPr>
        <w:sz w:val="20"/>
        <w:szCs w:val="20"/>
      </w:rPr>
    </w:pPr>
    <w:r>
      <w:rPr>
        <w:sz w:val="20"/>
        <w:szCs w:val="20"/>
      </w:rPr>
      <w:t xml:space="preserve">Updated </w:t>
    </w:r>
    <w:r w:rsidR="008048B9" w:rsidRPr="008048B9">
      <w:rPr>
        <w:sz w:val="20"/>
        <w:szCs w:val="20"/>
      </w:rPr>
      <w:t>11 Aug.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64EE8"/>
    <w:multiLevelType w:val="hybridMultilevel"/>
    <w:tmpl w:val="716EEF1A"/>
    <w:lvl w:ilvl="0" w:tplc="60B8EB5A">
      <w:start w:val="2"/>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B9"/>
    <w:rsid w:val="001F56F2"/>
    <w:rsid w:val="002375D0"/>
    <w:rsid w:val="0026169D"/>
    <w:rsid w:val="003543AF"/>
    <w:rsid w:val="00460F60"/>
    <w:rsid w:val="0056624A"/>
    <w:rsid w:val="005F55EA"/>
    <w:rsid w:val="006E5009"/>
    <w:rsid w:val="008048B9"/>
    <w:rsid w:val="00850CA5"/>
    <w:rsid w:val="009C790B"/>
    <w:rsid w:val="009E4978"/>
    <w:rsid w:val="00C32E42"/>
    <w:rsid w:val="00C9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50CFC-D34E-474C-B957-27B5A770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8B9"/>
    <w:rPr>
      <w:color w:val="000000"/>
      <w:u w:val="single"/>
    </w:rPr>
  </w:style>
  <w:style w:type="paragraph" w:styleId="ListParagraph">
    <w:name w:val="List Paragraph"/>
    <w:basedOn w:val="Normal"/>
    <w:uiPriority w:val="34"/>
    <w:qFormat/>
    <w:rsid w:val="008048B9"/>
  </w:style>
  <w:style w:type="paragraph" w:styleId="Header">
    <w:name w:val="header"/>
    <w:basedOn w:val="Normal"/>
    <w:link w:val="HeaderChar"/>
    <w:uiPriority w:val="99"/>
    <w:unhideWhenUsed/>
    <w:rsid w:val="008048B9"/>
    <w:pPr>
      <w:tabs>
        <w:tab w:val="center" w:pos="4680"/>
        <w:tab w:val="right" w:pos="9360"/>
      </w:tabs>
    </w:pPr>
  </w:style>
  <w:style w:type="character" w:customStyle="1" w:styleId="HeaderChar">
    <w:name w:val="Header Char"/>
    <w:basedOn w:val="DefaultParagraphFont"/>
    <w:link w:val="Header"/>
    <w:uiPriority w:val="99"/>
    <w:rsid w:val="008048B9"/>
    <w:rPr>
      <w:rFonts w:ascii="Times New Roman" w:hAnsi="Times New Roman" w:cs="Times New Roman"/>
      <w:sz w:val="24"/>
      <w:szCs w:val="24"/>
    </w:rPr>
  </w:style>
  <w:style w:type="paragraph" w:styleId="Footer">
    <w:name w:val="footer"/>
    <w:basedOn w:val="Normal"/>
    <w:link w:val="FooterChar"/>
    <w:uiPriority w:val="99"/>
    <w:unhideWhenUsed/>
    <w:rsid w:val="008048B9"/>
    <w:pPr>
      <w:tabs>
        <w:tab w:val="center" w:pos="4680"/>
        <w:tab w:val="right" w:pos="9360"/>
      </w:tabs>
    </w:pPr>
  </w:style>
  <w:style w:type="character" w:customStyle="1" w:styleId="FooterChar">
    <w:name w:val="Footer Char"/>
    <w:basedOn w:val="DefaultParagraphFont"/>
    <w:link w:val="Footer"/>
    <w:uiPriority w:val="99"/>
    <w:rsid w:val="008048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pis.epa.gov/Adobe/PDF/30006MK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Katie</dc:creator>
  <cp:keywords/>
  <dc:description/>
  <cp:lastModifiedBy>Goetz, Katie</cp:lastModifiedBy>
  <cp:revision>2</cp:revision>
  <dcterms:created xsi:type="dcterms:W3CDTF">2015-08-11T20:51:00Z</dcterms:created>
  <dcterms:modified xsi:type="dcterms:W3CDTF">2015-08-11T20:51:00Z</dcterms:modified>
</cp:coreProperties>
</file>